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w:t>
      </w:r>
      <w:r w:rsidDel="00000000" w:rsidR="00000000" w:rsidRPr="00000000">
        <w:rPr>
          <w:rtl w:val="0"/>
        </w:rPr>
        <w:t xml:space="preserve">REE FALLS LOCAL DEVELOPMENT CORPORATION </w:t>
      </w:r>
    </w:p>
    <w:p w:rsidR="00000000" w:rsidDel="00000000" w:rsidP="00000000" w:rsidRDefault="00000000" w:rsidRPr="00000000" w14:paraId="00000002">
      <w:pPr>
        <w:rPr/>
      </w:pPr>
      <w:r w:rsidDel="00000000" w:rsidR="00000000" w:rsidRPr="00000000">
        <w:rPr>
          <w:rtl w:val="0"/>
        </w:rPr>
        <w:t xml:space="preserve">Board of Directors Meeting-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Chair called to order at 9:37am on May 7, 2026.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In attendance: Chair Rordan Hart, Vice Chair Katelin Olson, Secretary Deb Notke, Board Members Liz Weatherby and Katherine Sender (joined remotely) </w:t>
      </w:r>
    </w:p>
    <w:p w:rsidR="00000000" w:rsidDel="00000000" w:rsidP="00000000" w:rsidRDefault="00000000" w:rsidRPr="00000000" w14:paraId="00000007">
      <w:pPr>
        <w:rPr/>
      </w:pPr>
      <w:r w:rsidDel="00000000" w:rsidR="00000000" w:rsidRPr="00000000">
        <w:rPr>
          <w:rtl w:val="0"/>
        </w:rPr>
        <w:t xml:space="preserve">Additional: Ben Guthrie (Town of Covert) and Matt (?- Scouting America)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(Minutes taken by Liz Weatherby and Rachel Kennedy) </w:t>
      </w:r>
    </w:p>
    <w:p w:rsidR="00000000" w:rsidDel="00000000" w:rsidP="00000000" w:rsidRDefault="00000000" w:rsidRPr="00000000" w14:paraId="0000000A">
      <w:pPr>
        <w:shd w:fill="ffffff" w:val="clear"/>
        <w:rPr/>
      </w:pP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rtl w:val="0"/>
        </w:rPr>
        <w:t xml:space="preserve">No changes to the agenda (although Treasurer's Report was later skipped as Ben Carver was not present)</w:t>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shd w:fill="ffffff" w:val="clear"/>
        <w:rPr/>
      </w:pPr>
      <w:r w:rsidDel="00000000" w:rsidR="00000000" w:rsidRPr="00000000">
        <w:rPr>
          <w:rtl w:val="0"/>
        </w:rPr>
        <w:t xml:space="preserve">Fisher Presentation - James Fruechtl, Frank Armento, Sarah Paufve</w:t>
      </w:r>
    </w:p>
    <w:p w:rsidR="00000000" w:rsidDel="00000000" w:rsidP="00000000" w:rsidRDefault="00000000" w:rsidRPr="00000000" w14:paraId="0000000E">
      <w:pPr>
        <w:numPr>
          <w:ilvl w:val="0"/>
          <w:numId w:val="1"/>
        </w:numPr>
        <w:shd w:fill="ffffff" w:val="clear"/>
        <w:ind w:left="720" w:hanging="360"/>
        <w:rPr>
          <w:rFonts w:ascii="Arial" w:cs="Arial" w:eastAsia="Arial" w:hAnsi="Arial"/>
          <w:color w:val="000000"/>
          <w:sz w:val="22"/>
          <w:szCs w:val="22"/>
        </w:rPr>
      </w:pPr>
      <w:r w:rsidDel="00000000" w:rsidR="00000000" w:rsidRPr="00000000">
        <w:rPr>
          <w:rtl w:val="0"/>
        </w:rPr>
        <w:t xml:space="preserve">Fisher provided an overview of their grant support services:</w:t>
      </w:r>
    </w:p>
    <w:p w:rsidR="00000000" w:rsidDel="00000000" w:rsidP="00000000" w:rsidRDefault="00000000" w:rsidRPr="00000000" w14:paraId="0000000F">
      <w:pPr>
        <w:numPr>
          <w:ilvl w:val="1"/>
          <w:numId w:val="1"/>
        </w:numPr>
        <w:ind w:left="1440" w:hanging="360"/>
        <w:rPr>
          <w:rFonts w:ascii="Arial" w:cs="Arial" w:eastAsia="Arial" w:hAnsi="Arial"/>
          <w:color w:val="000000"/>
          <w:sz w:val="22"/>
          <w:szCs w:val="22"/>
        </w:rPr>
      </w:pPr>
      <w:r w:rsidDel="00000000" w:rsidR="00000000" w:rsidRPr="00000000">
        <w:rPr>
          <w:rtl w:val="0"/>
        </w:rPr>
        <w:t xml:space="preserve">Grant implementation matrix -gathering information on sources of grants, eligibility requirements, grant amounts available, match requirements, pre-reqs for grants, timing of grants</w:t>
      </w:r>
    </w:p>
    <w:p w:rsidR="00000000" w:rsidDel="00000000" w:rsidP="00000000" w:rsidRDefault="00000000" w:rsidRPr="00000000" w14:paraId="00000010">
      <w:pPr>
        <w:numPr>
          <w:ilvl w:val="1"/>
          <w:numId w:val="1"/>
        </w:numPr>
        <w:ind w:left="1440" w:hanging="360"/>
        <w:rPr>
          <w:rFonts w:ascii="Arial" w:cs="Arial" w:eastAsia="Arial" w:hAnsi="Arial"/>
          <w:color w:val="000000"/>
          <w:sz w:val="22"/>
          <w:szCs w:val="22"/>
        </w:rPr>
      </w:pPr>
      <w:r w:rsidDel="00000000" w:rsidR="00000000" w:rsidRPr="00000000">
        <w:rPr>
          <w:rtl w:val="0"/>
        </w:rPr>
        <w:t xml:space="preserve">Grant writing - work on CFA and can prepare or help prepare narrative, have worked on other state (DEC) grants and federal grants</w:t>
      </w:r>
    </w:p>
    <w:p w:rsidR="00000000" w:rsidDel="00000000" w:rsidP="00000000" w:rsidRDefault="00000000" w:rsidRPr="00000000" w14:paraId="00000011">
      <w:pPr>
        <w:numPr>
          <w:ilvl w:val="1"/>
          <w:numId w:val="1"/>
        </w:numPr>
        <w:ind w:left="1440" w:hanging="360"/>
        <w:rPr>
          <w:rFonts w:ascii="Arial" w:cs="Arial" w:eastAsia="Arial" w:hAnsi="Arial"/>
          <w:color w:val="000000"/>
          <w:sz w:val="22"/>
          <w:szCs w:val="22"/>
        </w:rPr>
      </w:pPr>
      <w:r w:rsidDel="00000000" w:rsidR="00000000" w:rsidRPr="00000000">
        <w:rPr>
          <w:rtl w:val="0"/>
        </w:rPr>
        <w:t xml:space="preserve">Grant administration - support implementation, tracking and grant close-out</w:t>
      </w:r>
    </w:p>
    <w:p w:rsidR="00000000" w:rsidDel="00000000" w:rsidP="00000000" w:rsidRDefault="00000000" w:rsidRPr="00000000" w14:paraId="00000012">
      <w:pPr>
        <w:numPr>
          <w:ilvl w:val="0"/>
          <w:numId w:val="1"/>
        </w:numPr>
        <w:shd w:fill="ffffff" w:val="clear"/>
        <w:ind w:left="720" w:hanging="360"/>
        <w:rPr>
          <w:rFonts w:ascii="Arial" w:cs="Arial" w:eastAsia="Arial" w:hAnsi="Arial"/>
          <w:color w:val="000000"/>
          <w:sz w:val="22"/>
          <w:szCs w:val="22"/>
        </w:rPr>
      </w:pPr>
      <w:r w:rsidDel="00000000" w:rsidR="00000000" w:rsidRPr="00000000">
        <w:rPr>
          <w:rtl w:val="0"/>
        </w:rPr>
        <w:t xml:space="preserve">Fisher can support all states of grant or specific tasks, as requested</w:t>
      </w:r>
    </w:p>
    <w:p w:rsidR="00000000" w:rsidDel="00000000" w:rsidP="00000000" w:rsidRDefault="00000000" w:rsidRPr="00000000" w14:paraId="00000013">
      <w:pPr>
        <w:numPr>
          <w:ilvl w:val="0"/>
          <w:numId w:val="1"/>
        </w:numPr>
        <w:shd w:fill="ffffff" w:val="clear"/>
        <w:ind w:left="720" w:hanging="360"/>
        <w:rPr>
          <w:rFonts w:ascii="Arial" w:cs="Arial" w:eastAsia="Arial" w:hAnsi="Arial"/>
          <w:color w:val="000000"/>
          <w:sz w:val="22"/>
          <w:szCs w:val="22"/>
        </w:rPr>
      </w:pPr>
      <w:r w:rsidDel="00000000" w:rsidR="00000000" w:rsidRPr="00000000">
        <w:rPr>
          <w:rtl w:val="0"/>
        </w:rPr>
        <w:t xml:space="preserve">Fisher can support LDC on other initiatives, including grants for Town park, etc.</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 Hart asks how grant support billing is structured and how scope is tailored. </w:t>
      </w:r>
    </w:p>
    <w:p w:rsidR="00000000" w:rsidDel="00000000" w:rsidP="00000000" w:rsidRDefault="00000000" w:rsidRPr="00000000" w14:paraId="00000017">
      <w:pPr>
        <w:rPr/>
      </w:pPr>
      <w:r w:rsidDel="00000000" w:rsidR="00000000" w:rsidRPr="00000000">
        <w:rPr>
          <w:rtl w:val="0"/>
        </w:rPr>
        <w:t xml:space="preserve">Fisher said they would need additional conversation to understand the scope of what the LDC may be looking for. Once a grant is awarded, there is a lot of implementation work. Fisher is starting to get more active in the administrative side. That’s a possible extension of the work, should the LDC need that service.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Approval of April 2027 LDC minutes.  Motion made by K. Olson, second by L. Weatherby. All approved.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 Hart reports that Fred Bonn thinks the grant (currently being considered, due by the end of June) would be more competitive if the LDC submits, rather than Parks. By the June meeting, the LDC may have a packet of materials prepared by Parks to consider. This grant would be for materials, etc. for the Gorge Trail. (Parks is doing the labor.) </w:t>
      </w:r>
    </w:p>
    <w:p w:rsidR="00000000" w:rsidDel="00000000" w:rsidP="00000000" w:rsidRDefault="00000000" w:rsidRPr="00000000" w14:paraId="0000001C">
      <w:pPr>
        <w:rPr/>
      </w:pPr>
      <w:r w:rsidDel="00000000" w:rsidR="00000000" w:rsidRPr="00000000">
        <w:rPr>
          <w:rtl w:val="0"/>
        </w:rPr>
        <w:t xml:space="preserve">R. Hart will report back to LDC.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Question about insurance is still going back and forth: Everything on foot and on land is covered. Scout activities are covered, and Scouts will name the LDC as additionally insured, as they did last year. This doesn’t cover swimming, boating, etc. The insurers are aware there is water, and understand there is not a designated swimming area. The expectation is that the LDC will get rerated this fall, and the rates will be higher. Currently, liability exists, and the LDC is covered based on passive use. R. Hart is leaning toward nothing changing for this summer. Staying the course. K. Olson would like to see more going on by summer 2027. Agrees 2026 is too soon, and hiring someone for 2026 events makes little sense. Facilities are still too primitive to invest time and energy- better spent planning for 2027.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R.Hart suggests spending time looking for a person to come on in Fall 2026- to plan and develop policies for the 2027 season. Someone to be on board well in time to manage what comes by early 2027, when people are planning their warm season events.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Discussion of job description and scope of job: K. Olson feels that until water and other infrastructure are up to a certain level, they probably won't need a high level event coordinator. K. Olson will rework the job description for the June meeting- suggests that the job as it actually manifests might depend on who applies.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Discussion of how LDC can support fundraising for other projects. </w:t>
      </w:r>
    </w:p>
    <w:p w:rsidR="00000000" w:rsidDel="00000000" w:rsidP="00000000" w:rsidRDefault="00000000" w:rsidRPr="00000000" w14:paraId="00000025">
      <w:pPr>
        <w:rPr/>
      </w:pPr>
      <w:r w:rsidDel="00000000" w:rsidR="00000000" w:rsidRPr="00000000">
        <w:rPr>
          <w:rtl w:val="0"/>
        </w:rPr>
        <w:t xml:space="preserve">Kerry (attorney) recommendation: if a municipality has a need, the LDC can opt to support a project and act as a conduit, rather than taking lead. Municipalities would submit proposals to the LDC, and the LDC may act as the fiscal sponsor. K. Olson will direct the Town attorney to draft a proposal for LDC review.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K. Sender expresses frustration that Town park has momentum, but not Three Falls Park, in terms of public fundraising. She feels there should be a passive way to give money even if there is not an official campaign. R. Hart acknowledges the need to discuss language for the website for this purpose. Will add to agenda for June meeting.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Discussion of Fisher proposal:  Board is impressed. L. Weatherby likes the idea of assistance with grant administration. MRB has done well identifying grants and “not to exceed” numbers,  but they are expensive.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K. Olson moves to approve Fisher &amp; Associates proposal for grant identification and ongoing work, and to utilize their services for grant writing, as appropriate. L. Weatherby seconds, </w:t>
      </w:r>
    </w:p>
    <w:p w:rsidR="00000000" w:rsidDel="00000000" w:rsidP="00000000" w:rsidRDefault="00000000" w:rsidRPr="00000000" w14:paraId="0000002C">
      <w:pPr>
        <w:rPr/>
      </w:pPr>
      <w:r w:rsidDel="00000000" w:rsidR="00000000" w:rsidRPr="00000000">
        <w:rPr>
          <w:rtl w:val="0"/>
        </w:rPr>
        <w:t xml:space="preserve">all approve.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K. Olson moves to adjourn the meeting at 10:55am, L. Weatherby second, all approve.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color w:val="242424"/>
        <w:sz w:val="23"/>
        <w:szCs w:val="23"/>
        <w:u w:val="none"/>
      </w:rPr>
    </w:lvl>
    <w:lvl w:ilvl="1">
      <w:start w:val="1"/>
      <w:numFmt w:val="bullet"/>
      <w:lvlText w:val="○"/>
      <w:lvlJc w:val="left"/>
      <w:pPr>
        <w:ind w:left="1440" w:hanging="360"/>
      </w:pPr>
      <w:rPr>
        <w:rFonts w:ascii="Roboto" w:cs="Roboto" w:eastAsia="Roboto" w:hAnsi="Roboto"/>
        <w:b w:val="0"/>
        <w:bCs w:val="0"/>
        <w:i w:val="0"/>
        <w:iCs w:val="0"/>
        <w:smallCaps w:val="0"/>
        <w:color w:val="24242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